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C" w:rsidRPr="00C766F8" w:rsidRDefault="00E523CC" w:rsidP="00C766F8">
      <w:pPr>
        <w:numPr>
          <w:ilvl w:val="0"/>
          <w:numId w:val="1"/>
        </w:numPr>
        <w:spacing w:after="0" w:line="240" w:lineRule="auto"/>
        <w:ind w:left="714" w:hanging="357"/>
        <w:rPr>
          <w:rFonts w:ascii="TradeGothic" w:eastAsia="Times New Roman" w:hAnsi="TradeGothic" w:cs="Times New Roman"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/>
          <w:bCs/>
          <w:sz w:val="24"/>
          <w:szCs w:val="24"/>
          <w:lang w:eastAsia="es-AR"/>
        </w:rPr>
        <w:t>1. Cuál es la persona física o jurídica encargada de intermediar ante la aduana para realizar despachos de Importación y / o Exportación.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/>
          <w:bCs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20.25pt;height:17.25pt" o:ole="">
            <v:imagedata r:id="rId6" o:title=""/>
          </v:shape>
          <w:control r:id="rId7" w:name="DefaultOcxName" w:shapeid="_x0000_i1094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>Agente del Servicio Aduanero</w:t>
      </w:r>
      <w:r w:rsidRPr="00C766F8">
        <w:rPr>
          <w:rFonts w:ascii="TradeGothic" w:eastAsia="Times New Roman" w:hAnsi="TradeGothic" w:cs="Times New Roman"/>
          <w:b/>
          <w:bCs/>
          <w:sz w:val="24"/>
          <w:szCs w:val="24"/>
          <w:lang w:eastAsia="es-AR"/>
        </w:rPr>
        <w:t xml:space="preserve">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097" type="#_x0000_t75" style="width:20.25pt;height:17.25pt" o:ole="">
            <v:imagedata r:id="rId6" o:title=""/>
          </v:shape>
          <w:control r:id="rId8" w:name="DefaultOcxName1" w:shapeid="_x0000_i1097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Agente de Transporte Aduanero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00" type="#_x0000_t75" style="width:20.25pt;height:17.25pt" o:ole="">
            <v:imagedata r:id="rId9" o:title=""/>
          </v:shape>
          <w:control r:id="rId10" w:name="DefaultOcxName2" w:shapeid="_x0000_i1100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Despachante de Aduanas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03" type="#_x0000_t75" style="width:20.25pt;height:17.25pt" o:ole="">
            <v:imagedata r:id="rId6" o:title=""/>
          </v:shape>
          <w:control r:id="rId11" w:name="DefaultOcxName3" w:shapeid="_x0000_i1103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Todas son correctas </w:t>
      </w:r>
    </w:p>
    <w:p w:rsidR="00E523CC" w:rsidRPr="00C766F8" w:rsidRDefault="00E523CC" w:rsidP="00E52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adeGothic" w:eastAsia="Times New Roman" w:hAnsi="TradeGothic" w:cs="Times New Roman"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/>
          <w:bCs/>
          <w:sz w:val="24"/>
          <w:szCs w:val="24"/>
          <w:lang w:eastAsia="es-AR"/>
        </w:rPr>
        <w:t>2. Para qué se clasifica la mercadería.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06" type="#_x0000_t75" style="width:20.25pt;height:17.25pt" o:ole="">
            <v:imagedata r:id="rId6" o:title=""/>
          </v:shape>
          <w:control r:id="rId12" w:name="DefaultOcxName4" w:shapeid="_x0000_i1106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Para saber los tributos a pagar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09" type="#_x0000_t75" style="width:20.25pt;height:17.25pt" o:ole="">
            <v:imagedata r:id="rId6" o:title=""/>
          </v:shape>
          <w:control r:id="rId13" w:name="DefaultOcxName5" w:shapeid="_x0000_i1109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Para saber las tasas a pagar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12" type="#_x0000_t75" style="width:20.25pt;height:17.25pt" o:ole="">
            <v:imagedata r:id="rId6" o:title=""/>
          </v:shape>
          <w:control r:id="rId14" w:name="DefaultOcxName6" w:shapeid="_x0000_i1112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Procedimientos a Seguir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15" type="#_x0000_t75" style="width:20.25pt;height:17.25pt" o:ole="">
            <v:imagedata r:id="rId9" o:title=""/>
          </v:shape>
          <w:control r:id="rId15" w:name="DefaultOcxName7" w:shapeid="_x0000_i1115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Todas son correctas </w:t>
      </w:r>
    </w:p>
    <w:p w:rsidR="00E523CC" w:rsidRPr="00C766F8" w:rsidRDefault="00E523CC" w:rsidP="00E52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radeGothic" w:eastAsia="Times New Roman" w:hAnsi="TradeGothic" w:cs="Times New Roman"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/>
          <w:bCs/>
          <w:sz w:val="24"/>
          <w:szCs w:val="24"/>
          <w:lang w:eastAsia="es-AR"/>
        </w:rPr>
        <w:t>3. En qué módulo del SIM se debe indicar el pago de impuestos, derechos y tasas.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18" type="#_x0000_t75" style="width:20.25pt;height:17.25pt" o:ole="">
            <v:imagedata r:id="rId6" o:title=""/>
          </v:shape>
          <w:control r:id="rId16" w:name="DefaultOcxName8" w:shapeid="_x0000_i1118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Módulo Información detallada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21" type="#_x0000_t75" style="width:20.25pt;height:17.25pt" o:ole="">
            <v:imagedata r:id="rId6" o:title=""/>
          </v:shape>
          <w:control r:id="rId17" w:name="DefaultOcxName9" w:shapeid="_x0000_i1121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Módulo Manifiesto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204" type="#_x0000_t75" style="width:20.25pt;height:17.25pt" o:ole="">
            <v:imagedata r:id="rId6" o:title=""/>
          </v:shape>
          <w:control r:id="rId18" w:name="DefaultOcxName10" w:shapeid="_x0000_i1204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Módulo Arancel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205" type="#_x0000_t75" style="width:20.25pt;height:17.25pt" o:ole="">
            <v:imagedata r:id="rId9" o:title=""/>
          </v:shape>
          <w:control r:id="rId19" w:name="DefaultOcxName11" w:shapeid="_x0000_i1205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Módulo Recaudación </w:t>
      </w:r>
    </w:p>
    <w:p w:rsidR="00E523CC" w:rsidRPr="00C766F8" w:rsidRDefault="00E523CC" w:rsidP="00E523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radeGothic" w:eastAsia="Times New Roman" w:hAnsi="TradeGothic" w:cs="Times New Roman"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/>
          <w:bCs/>
          <w:sz w:val="24"/>
          <w:szCs w:val="24"/>
          <w:lang w:eastAsia="es-AR"/>
        </w:rPr>
        <w:t>4. Para qué se debe Valorar la mercadería en importación.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30" type="#_x0000_t75" style="width:20.25pt;height:17.25pt" o:ole="">
            <v:imagedata r:id="rId6" o:title=""/>
          </v:shape>
          <w:control r:id="rId20" w:name="DefaultOcxName12" w:shapeid="_x0000_i1130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Para obtener el costo de la mercadería en el puerto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33" type="#_x0000_t75" style="width:20.25pt;height:17.25pt" o:ole="">
            <v:imagedata r:id="rId9" o:title=""/>
          </v:shape>
          <w:control r:id="rId21" w:name="DefaultOcxName13" w:shapeid="_x0000_i1133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Para Obtener la Base Imponible a aplicar para el Pago de Impuestos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97" type="#_x0000_t75" style="width:20.25pt;height:17.25pt" o:ole="">
            <v:imagedata r:id="rId6" o:title=""/>
          </v:shape>
          <w:control r:id="rId22" w:name="DefaultOcxName14" w:shapeid="_x0000_i1197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Para saber cuánto se debe pagar en concepto de tributos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39" type="#_x0000_t75" style="width:20.25pt;height:17.25pt" o:ole="">
            <v:imagedata r:id="rId6" o:title=""/>
          </v:shape>
          <w:control r:id="rId23" w:name="DefaultOcxName15" w:shapeid="_x0000_i1139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Ninguna es correcta </w:t>
      </w:r>
    </w:p>
    <w:p w:rsidR="00E523CC" w:rsidRPr="00C766F8" w:rsidRDefault="00E523CC" w:rsidP="00E52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radeGothic" w:eastAsia="Times New Roman" w:hAnsi="TradeGothic" w:cs="Times New Roman"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/>
          <w:bCs/>
          <w:sz w:val="24"/>
          <w:szCs w:val="24"/>
          <w:lang w:eastAsia="es-AR"/>
        </w:rPr>
        <w:t>5. Qué tratamiento arancelario tiene una destinación definitiva.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42" type="#_x0000_t75" style="width:20.25pt;height:17.25pt" o:ole="">
            <v:imagedata r:id="rId6" o:title=""/>
          </v:shape>
          <w:control r:id="rId24" w:name="DefaultOcxName16" w:shapeid="_x0000_i1142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Se deben garantizar el valor de la mercadería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45" type="#_x0000_t75" style="width:20.25pt;height:17.25pt" o:ole="">
            <v:imagedata r:id="rId6" o:title=""/>
          </v:shape>
          <w:control r:id="rId25" w:name="DefaultOcxName17" w:shapeid="_x0000_i1145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Se debe Garantizar el monto de tributos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206" type="#_x0000_t75" style="width:20.25pt;height:17.25pt" o:ole="">
            <v:imagedata r:id="rId6" o:title=""/>
          </v:shape>
          <w:control r:id="rId26" w:name="DefaultOcxName18" w:shapeid="_x0000_i1206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Se deben pagar tributos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51" type="#_x0000_t75" style="width:20.25pt;height:17.25pt" o:ole="">
            <v:imagedata r:id="rId6" o:title=""/>
          </v:shape>
          <w:control r:id="rId27" w:name="DefaultOcxName19" w:shapeid="_x0000_i1151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No se pagan tributos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207" type="#_x0000_t75" style="width:20.25pt;height:17.25pt" o:ole="">
            <v:imagedata r:id="rId9" o:title=""/>
          </v:shape>
          <w:control r:id="rId28" w:name="DefaultOcxName20" w:shapeid="_x0000_i1207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A y C son correctas </w:t>
      </w:r>
    </w:p>
    <w:p w:rsidR="00E523CC" w:rsidRPr="00C766F8" w:rsidRDefault="00E523CC" w:rsidP="00E523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radeGothic" w:eastAsia="Times New Roman" w:hAnsi="TradeGothic" w:cs="Times New Roman"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/>
          <w:bCs/>
          <w:sz w:val="24"/>
          <w:szCs w:val="24"/>
          <w:lang w:eastAsia="es-AR"/>
        </w:rPr>
        <w:lastRenderedPageBreak/>
        <w:t>6. La destinación Suspensiva de almacenamiento debe ser garantizada.</w:t>
      </w:r>
    </w:p>
    <w:p w:rsidR="00E523CC" w:rsidRPr="00C766F8" w:rsidRDefault="00E523CC" w:rsidP="00E523CC">
      <w:pPr>
        <w:spacing w:beforeAutospacing="1" w:after="0" w:afterAutospacing="1" w:line="240" w:lineRule="auto"/>
        <w:ind w:left="720"/>
        <w:rPr>
          <w:rFonts w:ascii="TradeGothic" w:eastAsia="Times New Roman" w:hAnsi="TradeGothic" w:cs="Times New Roman"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sz w:val="24"/>
          <w:szCs w:val="24"/>
        </w:rPr>
        <w:object w:dxaOrig="1440" w:dyaOrig="1440">
          <v:shape id="_x0000_i1157" type="#_x0000_t75" style="width:20.25pt;height:17.25pt" o:ole="">
            <v:imagedata r:id="rId6" o:title=""/>
          </v:shape>
          <w:control r:id="rId29" w:name="DefaultOcxName21" w:shapeid="_x0000_i1157"/>
        </w:object>
      </w:r>
      <w:r w:rsidRPr="00C766F8">
        <w:rPr>
          <w:rFonts w:ascii="TradeGothic" w:eastAsia="Times New Roman" w:hAnsi="TradeGothic" w:cs="Times New Roman"/>
          <w:sz w:val="24"/>
          <w:szCs w:val="24"/>
          <w:lang w:eastAsia="es-AR"/>
        </w:rPr>
        <w:t xml:space="preserve">Verdadero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60" type="#_x0000_t75" style="width:20.25pt;height:17.25pt" o:ole="">
            <v:imagedata r:id="rId9" o:title=""/>
          </v:shape>
          <w:control r:id="rId30" w:name="DefaultOcxName22" w:shapeid="_x0000_i1160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Falso </w:t>
      </w:r>
    </w:p>
    <w:p w:rsidR="00E523CC" w:rsidRPr="00C766F8" w:rsidRDefault="00E523CC" w:rsidP="00E523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radeGothic" w:eastAsia="Times New Roman" w:hAnsi="TradeGothic" w:cs="Times New Roman"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/>
          <w:bCs/>
          <w:sz w:val="24"/>
          <w:szCs w:val="24"/>
          <w:lang w:eastAsia="es-AR"/>
        </w:rPr>
        <w:t>7. Una Destinación de removido implica el libre tránsito de mercaderías que ingresan al país producto de una importación, para ser despachada en una aduana interior.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63" type="#_x0000_t75" style="width:20.25pt;height:17.25pt" o:ole="">
            <v:imagedata r:id="rId9" o:title=""/>
          </v:shape>
          <w:control r:id="rId31" w:name="DefaultOcxName23" w:shapeid="_x0000_i1163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Verdadero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66" type="#_x0000_t75" style="width:20.25pt;height:17.25pt" o:ole="">
            <v:imagedata r:id="rId6" o:title=""/>
          </v:shape>
          <w:control r:id="rId32" w:name="DefaultOcxName24" w:shapeid="_x0000_i1166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Falso </w:t>
      </w:r>
    </w:p>
    <w:p w:rsidR="00E523CC" w:rsidRPr="00C766F8" w:rsidRDefault="00E523CC" w:rsidP="00E523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radeGothic" w:eastAsia="Times New Roman" w:hAnsi="TradeGothic" w:cs="Times New Roman"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/>
          <w:bCs/>
          <w:sz w:val="24"/>
          <w:szCs w:val="24"/>
          <w:lang w:eastAsia="es-AR"/>
        </w:rPr>
        <w:t>8. Se entiende por Nacionalización de una mercadería cuando se produce lo siguiente: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69" type="#_x0000_t75" style="width:20.25pt;height:17.25pt" o:ole="">
            <v:imagedata r:id="rId6" o:title=""/>
          </v:shape>
          <w:control r:id="rId33" w:name="DefaultOcxName25" w:shapeid="_x0000_i1169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El arribo del medio de transporte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72" type="#_x0000_t75" style="width:20.25pt;height:17.25pt" o:ole="">
            <v:imagedata r:id="rId6" o:title=""/>
          </v:shape>
          <w:control r:id="rId34" w:name="DefaultOcxName26" w:shapeid="_x0000_i1172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La autorización de salida de la mercadería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75" type="#_x0000_t75" style="width:20.25pt;height:17.25pt" o:ole="">
            <v:imagedata r:id="rId9" o:title=""/>
          </v:shape>
          <w:control r:id="rId35" w:name="DefaultOcxName27" w:shapeid="_x0000_i1175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El cumplimiento efectivo del momento imponible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78" type="#_x0000_t75" style="width:20.25pt;height:17.25pt" o:ole="">
            <v:imagedata r:id="rId6" o:title=""/>
          </v:shape>
          <w:control r:id="rId36" w:name="DefaultOcxName28" w:shapeid="_x0000_i1178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El pago de la mercadería </w:t>
      </w:r>
    </w:p>
    <w:p w:rsidR="00E523CC" w:rsidRPr="00C766F8" w:rsidRDefault="00E523CC" w:rsidP="00E523C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radeGothic" w:eastAsia="Times New Roman" w:hAnsi="TradeGothic" w:cs="Times New Roman"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/>
          <w:bCs/>
          <w:sz w:val="24"/>
          <w:szCs w:val="24"/>
          <w:lang w:eastAsia="es-AR"/>
        </w:rPr>
        <w:t>9. El proceso en el cual se da intervención a la aduana de la Declaración Aduanera, con la información de los derechos, impuestos y tasas se denomina Oficialización.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208" type="#_x0000_t75" style="width:20.25pt;height:17.25pt" o:ole="">
            <v:imagedata r:id="rId6" o:title=""/>
          </v:shape>
          <w:control r:id="rId37" w:name="DefaultOcxName29" w:shapeid="_x0000_i1208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Verdadero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209" type="#_x0000_t75" style="width:20.25pt;height:17.25pt" o:ole="">
            <v:imagedata r:id="rId9" o:title=""/>
          </v:shape>
          <w:control r:id="rId38" w:name="DefaultOcxName30" w:shapeid="_x0000_i1209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Falso </w:t>
      </w:r>
    </w:p>
    <w:p w:rsidR="00E523CC" w:rsidRPr="00C766F8" w:rsidRDefault="00E523CC" w:rsidP="00E523C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radeGothic" w:eastAsia="Times New Roman" w:hAnsi="TradeGothic" w:cs="Times New Roman"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/>
          <w:bCs/>
          <w:sz w:val="24"/>
          <w:szCs w:val="24"/>
          <w:lang w:eastAsia="es-AR"/>
        </w:rPr>
        <w:t>10. Qué canal de selectividad implica que la Aduana constatará los datos declarados y autorizará el retiro de la mercadería realizando un control de peso y cantidad e identificación de los bultos.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187" type="#_x0000_t75" style="width:20.25pt;height:17.25pt" o:ole="">
            <v:imagedata r:id="rId6" o:title=""/>
          </v:shape>
          <w:control r:id="rId39" w:name="DefaultOcxName31" w:shapeid="_x0000_i1187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Canal Verde </w:t>
      </w:r>
    </w:p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210" type="#_x0000_t75" style="width:20.25pt;height:17.25pt" o:ole="">
            <v:imagedata r:id="rId6" o:title=""/>
          </v:shape>
          <w:control r:id="rId40" w:name="DefaultOcxName32" w:shapeid="_x0000_i1210"/>
        </w:object>
      </w:r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Canal Naranja </w:t>
      </w:r>
    </w:p>
    <w:bookmarkStart w:id="0" w:name="_GoBack"/>
    <w:p w:rsidR="00E523CC" w:rsidRPr="00C766F8" w:rsidRDefault="00E523CC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  <w:r w:rsidRPr="00C766F8">
        <w:rPr>
          <w:rFonts w:ascii="TradeGothic" w:eastAsia="Times New Roman" w:hAnsi="TradeGothic" w:cs="Times New Roman"/>
          <w:bCs/>
          <w:sz w:val="24"/>
          <w:szCs w:val="24"/>
        </w:rPr>
        <w:object w:dxaOrig="1440" w:dyaOrig="1440">
          <v:shape id="_x0000_i1211" type="#_x0000_t75" style="width:20.25pt;height:17.25pt" o:ole="">
            <v:imagedata r:id="rId9" o:title=""/>
          </v:shape>
          <w:control r:id="rId41" w:name="DefaultOcxName33" w:shapeid="_x0000_i1211"/>
        </w:object>
      </w:r>
      <w:bookmarkEnd w:id="0"/>
      <w:r w:rsidRPr="00C766F8">
        <w:rPr>
          <w:rFonts w:ascii="TradeGothic" w:eastAsia="Times New Roman" w:hAnsi="TradeGothic" w:cs="Times New Roman"/>
          <w:bCs/>
          <w:sz w:val="24"/>
          <w:szCs w:val="24"/>
          <w:lang w:eastAsia="es-AR"/>
        </w:rPr>
        <w:t xml:space="preserve">Canal Rojo </w:t>
      </w:r>
    </w:p>
    <w:p w:rsidR="003A3364" w:rsidRPr="00C766F8" w:rsidRDefault="003A3364" w:rsidP="00C766F8">
      <w:pPr>
        <w:spacing w:before="120" w:after="0" w:line="240" w:lineRule="auto"/>
        <w:ind w:left="709"/>
        <w:rPr>
          <w:rFonts w:ascii="TradeGothic" w:eastAsia="Times New Roman" w:hAnsi="TradeGothic" w:cs="Times New Roman"/>
          <w:bCs/>
          <w:sz w:val="24"/>
          <w:szCs w:val="24"/>
          <w:lang w:eastAsia="es-AR"/>
        </w:rPr>
      </w:pPr>
    </w:p>
    <w:sectPr w:rsidR="003A3364" w:rsidRPr="00C766F8" w:rsidSect="00C766F8">
      <w:pgSz w:w="11906" w:h="16838"/>
      <w:pgMar w:top="1135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7C3F"/>
    <w:multiLevelType w:val="multilevel"/>
    <w:tmpl w:val="A094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928E0"/>
    <w:multiLevelType w:val="multilevel"/>
    <w:tmpl w:val="BADE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E06DC"/>
    <w:multiLevelType w:val="multilevel"/>
    <w:tmpl w:val="B696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52BA0"/>
    <w:multiLevelType w:val="multilevel"/>
    <w:tmpl w:val="A6A0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E4709"/>
    <w:multiLevelType w:val="multilevel"/>
    <w:tmpl w:val="B53C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B45B4"/>
    <w:multiLevelType w:val="multilevel"/>
    <w:tmpl w:val="B8E8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E2515"/>
    <w:multiLevelType w:val="multilevel"/>
    <w:tmpl w:val="91D6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20373"/>
    <w:multiLevelType w:val="multilevel"/>
    <w:tmpl w:val="F6B8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06EBA"/>
    <w:multiLevelType w:val="multilevel"/>
    <w:tmpl w:val="667AE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A46B59"/>
    <w:multiLevelType w:val="multilevel"/>
    <w:tmpl w:val="1F32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C"/>
    <w:rsid w:val="003842AF"/>
    <w:rsid w:val="003A3364"/>
    <w:rsid w:val="00C766F8"/>
    <w:rsid w:val="00E5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theme" Target="theme/theme1.xml"/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Colombo</dc:creator>
  <cp:lastModifiedBy>Laura Colombo</cp:lastModifiedBy>
  <cp:revision>2</cp:revision>
  <dcterms:created xsi:type="dcterms:W3CDTF">2020-09-24T15:55:00Z</dcterms:created>
  <dcterms:modified xsi:type="dcterms:W3CDTF">2020-09-29T23:12:00Z</dcterms:modified>
</cp:coreProperties>
</file>